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9B93E">
      <w:pPr>
        <w:rPr>
          <w:rFonts w:hint="eastAsia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Supplementary Figure</w:t>
      </w:r>
      <w:r>
        <w:rPr>
          <w:rFonts w:hint="eastAsia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 xml:space="preserve"> Legends:</w:t>
      </w:r>
    </w:p>
    <w:p w14:paraId="7E4480D8"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480" w:lineRule="auto"/>
        <w:ind w:left="0" w:right="0"/>
        <w:jc w:val="both"/>
        <w:rPr>
          <w:rFonts w:hint="default" w:ascii="Arial" w:hAnsi="Arial" w:eastAsia="宋体" w:cs="Arial"/>
          <w:szCs w:val="21"/>
          <w:lang w:val="en-US"/>
        </w:rPr>
      </w:pPr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Supplementary Figure 1. Comparison of the average JAK/STAT3 pathway score across different mutation groups within the TCGA-PRAD cohort.</w:t>
      </w:r>
      <w:r>
        <w:rPr>
          <w:rFonts w:hint="default" w:ascii="Arial" w:hAnsi="Arial" w:eastAsia="宋体" w:cs="Arial"/>
          <w:kern w:val="2"/>
          <w:sz w:val="21"/>
          <w:szCs w:val="21"/>
          <w:lang w:val="en-US" w:eastAsia="zh-CN" w:bidi="ar"/>
        </w:rPr>
        <w:t xml:space="preserve"> The groups analyzed included WTP53, p.R248Q, and other TP53 mutations, as well as a subgroup analysis of p.R248Q mutations in combination with other mutations.</w:t>
      </w:r>
    </w:p>
    <w:p w14:paraId="20080830">
      <w:pPr>
        <w:keepNext w:val="0"/>
        <w:keepLines w:val="0"/>
        <w:widowControl w:val="0"/>
        <w:suppressLineNumbers w:val="0"/>
        <w:spacing w:before="120" w:beforeLines="50" w:beforeAutospacing="0" w:after="120" w:afterLines="50" w:afterAutospacing="0" w:line="480" w:lineRule="auto"/>
        <w:ind w:left="0" w:right="0"/>
        <w:jc w:val="both"/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</w:pPr>
      <w:r>
        <w:rPr>
          <w:rFonts w:hint="default" w:ascii="Arial" w:hAnsi="Arial" w:eastAsia="宋体" w:cs="Arial"/>
          <w:b/>
          <w:bCs/>
          <w:kern w:val="2"/>
          <w:sz w:val="21"/>
          <w:szCs w:val="21"/>
          <w:lang w:val="en-US" w:eastAsia="zh-CN" w:bidi="ar"/>
        </w:rPr>
        <w:t>Supplementary Figure 2. Correlation analysis of SHP1 expression levels with immune-related factors in prostate cancer patients derived from the GSE25136 dataset (unpaired t test).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16B17"/>
    <w:rsid w:val="2FB01091"/>
    <w:rsid w:val="3A8A671A"/>
    <w:rsid w:val="75A1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437</Characters>
  <Lines>0</Lines>
  <Paragraphs>0</Paragraphs>
  <TotalTime>0</TotalTime>
  <ScaleCrop>false</ScaleCrop>
  <LinksUpToDate>false</LinksUpToDate>
  <CharactersWithSpaces>503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2025-01-25T10:25:00Z</dcterms:created>
  <dc:creator>闯荡</dc:creator>
  <cp:lastModifiedBy>USER</cp:lastModifiedBy>
  <dcterms:modified xsi:type="dcterms:W3CDTF">2025-02-05T03:46:48Z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D37683A02B1E4798974E624D53069B73_11</vt:lpwstr>
  </property>
  <property fmtid="{D5CDD505-2E9C-101B-9397-08002B2CF9AE}" pid="4" name="KSOTemplateDocerSaveRecord">
    <vt:lpwstr>eyJoZGlkIjoiMTFmMWI0MTc3YWEwOGI3ZTY4Y2EyZTZlOTVmYzIxMjIiLCJ1c2VySWQiOiI0NDQzNTg5MzMifQ==</vt:lpwstr>
  </property>
</Properties>
</file>